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2870AC" w:rsidRPr="002870AC" w:rsidTr="002D20EB">
        <w:trPr>
          <w:trHeight w:val="1085"/>
        </w:trPr>
        <w:tc>
          <w:tcPr>
            <w:tcW w:w="4132" w:type="dxa"/>
          </w:tcPr>
          <w:p w:rsidR="002870AC" w:rsidRPr="002870AC" w:rsidRDefault="002870AC" w:rsidP="002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val="be-BY" w:eastAsia="ru-RU"/>
              </w:rPr>
              <w:t>БАШҚОРТОСТАН РЕСПУБЛИКА</w:t>
            </w:r>
            <w:r w:rsidRPr="002870AC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2870AC">
              <w:rPr>
                <w:rFonts w:ascii="Times New Roman" w:eastAsia="Times New Roman" w:hAnsi="Times New Roman" w:cs="Times New Roman"/>
                <w:lang w:val="be-BY" w:eastAsia="ru-RU"/>
              </w:rPr>
              <w:t>Ы</w:t>
            </w:r>
          </w:p>
          <w:p w:rsidR="002870AC" w:rsidRPr="002870AC" w:rsidRDefault="002870AC" w:rsidP="002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САЛАУАТ РАЙОНЫ </w:t>
            </w:r>
          </w:p>
          <w:p w:rsidR="002870AC" w:rsidRPr="002870AC" w:rsidRDefault="002870AC" w:rsidP="002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МУНИЦИПАЛЬ РАЙОНЫНЫҢ </w:t>
            </w:r>
          </w:p>
          <w:p w:rsidR="002870AC" w:rsidRPr="002870AC" w:rsidRDefault="002870AC" w:rsidP="002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val="be-BY" w:eastAsia="ru-RU"/>
              </w:rPr>
              <w:t>МАЛАЯЗ АУЫЛ СОВЕТЫ</w:t>
            </w:r>
          </w:p>
          <w:p w:rsidR="002870AC" w:rsidRPr="002870AC" w:rsidRDefault="002870AC" w:rsidP="002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  БИЛӘМӘ</w:t>
            </w:r>
            <w:r w:rsidRPr="002870AC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2870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2870AC" w:rsidRPr="002870AC" w:rsidRDefault="002870AC" w:rsidP="002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eastAsia="ru-RU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2870AC" w:rsidRPr="002870AC" w:rsidRDefault="002870AC" w:rsidP="0028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0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2870AC" w:rsidRPr="002870AC" w:rsidRDefault="002870AC" w:rsidP="002870A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2870AC" w:rsidRPr="002870AC" w:rsidRDefault="002870AC" w:rsidP="002870A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</w:t>
            </w:r>
          </w:p>
          <w:p w:rsidR="002870AC" w:rsidRPr="002870AC" w:rsidRDefault="002870AC" w:rsidP="002870A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  <w:p w:rsidR="002870AC" w:rsidRPr="002870AC" w:rsidRDefault="002870AC" w:rsidP="002870A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eastAsia="ru-RU"/>
              </w:rPr>
              <w:t>МАЛОЯЗОВСКИЙ СЕЛЬСОВЕТ</w:t>
            </w:r>
          </w:p>
          <w:p w:rsidR="002870AC" w:rsidRPr="002870AC" w:rsidRDefault="002870AC" w:rsidP="002870A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2870AC" w:rsidRPr="002870AC" w:rsidRDefault="002870AC" w:rsidP="002870A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eastAsia="ru-RU"/>
              </w:rPr>
              <w:t>САЛАВАТСКИЙ РАЙОН</w:t>
            </w:r>
          </w:p>
        </w:tc>
      </w:tr>
      <w:tr w:rsidR="002870AC" w:rsidRPr="002870AC" w:rsidTr="002D20EB">
        <w:tc>
          <w:tcPr>
            <w:tcW w:w="4132" w:type="dxa"/>
          </w:tcPr>
          <w:p w:rsidR="002870AC" w:rsidRPr="002870AC" w:rsidRDefault="002870AC" w:rsidP="002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val="be-BY" w:eastAsia="ru-RU"/>
              </w:rPr>
              <w:t>452490, Татар Малая</w:t>
            </w:r>
            <w:r w:rsidRPr="002870AC">
              <w:rPr>
                <w:rFonts w:ascii="Lucida Sans Unicode" w:eastAsia="Times New Roman" w:hAnsi="Lucida Sans Unicode" w:cs="Times New Roman"/>
                <w:lang w:val="be-BY" w:eastAsia="ru-RU"/>
              </w:rPr>
              <w:t>ҙ</w:t>
            </w:r>
            <w:r w:rsidRPr="002870A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ауылы, Мәктәп урамы, 2 йорт </w:t>
            </w:r>
          </w:p>
          <w:p w:rsidR="002870AC" w:rsidRPr="002870AC" w:rsidRDefault="002870AC" w:rsidP="002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2870AC" w:rsidRPr="002870AC" w:rsidRDefault="002870AC" w:rsidP="0028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2870AC" w:rsidRPr="002870AC" w:rsidRDefault="002870AC" w:rsidP="002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val="be-BY" w:eastAsia="ru-RU"/>
              </w:rPr>
              <w:t xml:space="preserve">452490, с.Татарский Малояз, ул. Школьная, 2 </w:t>
            </w:r>
          </w:p>
          <w:p w:rsidR="002870AC" w:rsidRPr="002870AC" w:rsidRDefault="002870AC" w:rsidP="002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0AC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</w:tr>
    </w:tbl>
    <w:p w:rsidR="002870AC" w:rsidRPr="002870AC" w:rsidRDefault="002870AC" w:rsidP="002870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0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2870AC" w:rsidRPr="002870AC" w:rsidRDefault="002870AC" w:rsidP="002870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870AC" w:rsidRPr="002870AC" w:rsidRDefault="002870AC" w:rsidP="002870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870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Қ</w:t>
      </w:r>
      <w:r w:rsidRPr="002870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 xml:space="preserve"> А </w:t>
      </w:r>
      <w:proofErr w:type="gramStart"/>
      <w:r w:rsidRPr="002870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>Р</w:t>
      </w:r>
      <w:proofErr w:type="gramEnd"/>
      <w:r w:rsidRPr="002870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tt-RU" w:eastAsia="ru-RU"/>
        </w:rPr>
        <w:t xml:space="preserve"> А Р </w:t>
      </w:r>
      <w:r w:rsidRPr="002870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</w:t>
      </w:r>
      <w:r w:rsidR="00FC37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</w:t>
      </w:r>
      <w:r w:rsidRPr="002870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ПОСТАНОВЛЕНИЕ</w:t>
      </w:r>
    </w:p>
    <w:p w:rsidR="002870AC" w:rsidRPr="002870AC" w:rsidRDefault="002870AC" w:rsidP="002870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870AC" w:rsidRPr="00FC373F" w:rsidRDefault="002870AC" w:rsidP="002870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C37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«21» декабрь 2016й.</w:t>
      </w:r>
      <w:r w:rsidR="00FC37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</w:t>
      </w:r>
      <w:r w:rsidRPr="00FC37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7</w:t>
      </w:r>
      <w:r w:rsidR="00FC373F" w:rsidRPr="00FC37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                     </w:t>
      </w:r>
      <w:r w:rsidR="00FC37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«21</w:t>
      </w:r>
      <w:r w:rsidRPr="00FC37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 декабря 2016г.</w:t>
      </w:r>
    </w:p>
    <w:p w:rsidR="000D1E1C" w:rsidRPr="00E05221" w:rsidRDefault="000D1E1C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0241" w:rsidRPr="00AA0241" w:rsidRDefault="00AA0241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0D1E1C" w:rsidRDefault="009820A7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A7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</w:t>
      </w:r>
      <w:r w:rsidR="00D10C02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2870AC">
        <w:rPr>
          <w:rFonts w:ascii="Times New Roman" w:hAnsi="Times New Roman" w:cs="Times New Roman"/>
          <w:b/>
          <w:sz w:val="28"/>
          <w:szCs w:val="28"/>
        </w:rPr>
        <w:t>Малоязовский</w:t>
      </w:r>
      <w:r w:rsidR="00D10C0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D0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0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9820A7">
        <w:rPr>
          <w:rFonts w:ascii="Times New Roman" w:hAnsi="Times New Roman" w:cs="Times New Roman"/>
          <w:b/>
          <w:sz w:val="28"/>
          <w:szCs w:val="28"/>
        </w:rPr>
        <w:t>с субъектами контроля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>, указанными в пункт</w:t>
      </w:r>
      <w:r w:rsidR="00037D69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037D69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AA0241"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37D69"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0D1E1C" w:rsidRDefault="000D1E1C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E1C" w:rsidRDefault="00E6640C" w:rsidP="00EC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C6E7F"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 w:rsidR="00884E9F">
        <w:rPr>
          <w:rFonts w:ascii="Times New Roman" w:hAnsi="Times New Roman" w:cs="Times New Roman"/>
          <w:sz w:val="28"/>
          <w:szCs w:val="28"/>
        </w:rPr>
        <w:t>1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 w:rsidR="00EC6E7F">
        <w:rPr>
          <w:rFonts w:ascii="Times New Roman" w:hAnsi="Times New Roman" w:cs="Times New Roman"/>
          <w:sz w:val="28"/>
          <w:szCs w:val="28"/>
        </w:rPr>
        <w:t>ода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 w:rsidR="00EC4AEE">
        <w:rPr>
          <w:rFonts w:ascii="Times New Roman" w:hAnsi="Times New Roman" w:cs="Times New Roman"/>
          <w:sz w:val="28"/>
          <w:szCs w:val="28"/>
        </w:rPr>
        <w:t>,</w:t>
      </w:r>
      <w:r w:rsidR="005A7CD0">
        <w:rPr>
          <w:rFonts w:ascii="Times New Roman" w:hAnsi="Times New Roman" w:cs="Times New Roman"/>
          <w:sz w:val="28"/>
          <w:szCs w:val="28"/>
        </w:rPr>
        <w:br/>
      </w:r>
      <w:r w:rsidR="00A55968"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 w:rsidR="009820A7" w:rsidRPr="009820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20A7">
        <w:rPr>
          <w:rFonts w:ascii="Times New Roman" w:hAnsi="Times New Roman" w:cs="Times New Roman"/>
          <w:sz w:val="28"/>
          <w:szCs w:val="28"/>
        </w:rPr>
        <w:t xml:space="preserve"> от22 июля 2016 года № </w:t>
      </w:r>
      <w:r w:rsidR="009820A7" w:rsidRPr="009820A7">
        <w:rPr>
          <w:rFonts w:ascii="Times New Roman" w:hAnsi="Times New Roman" w:cs="Times New Roman"/>
          <w:sz w:val="28"/>
          <w:szCs w:val="28"/>
        </w:rPr>
        <w:t>120н</w:t>
      </w:r>
      <w:r w:rsidR="009820A7">
        <w:rPr>
          <w:rFonts w:ascii="Times New Roman" w:hAnsi="Times New Roman" w:cs="Times New Roman"/>
          <w:sz w:val="28"/>
          <w:szCs w:val="28"/>
        </w:rPr>
        <w:t xml:space="preserve"> «</w:t>
      </w:r>
      <w:r w:rsidR="009820A7"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 w:rsidR="00CA2098">
        <w:rPr>
          <w:rFonts w:ascii="Times New Roman" w:hAnsi="Times New Roman" w:cs="Times New Roman"/>
          <w:sz w:val="28"/>
          <w:szCs w:val="28"/>
        </w:rPr>
        <w:t>статьи 99</w:t>
      </w:r>
      <w:proofErr w:type="gramEnd"/>
      <w:r w:rsidR="00CA209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9820A7"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2870AC">
        <w:rPr>
          <w:rFonts w:ascii="Times New Roman" w:hAnsi="Times New Roman" w:cs="Times New Roman"/>
          <w:sz w:val="28"/>
          <w:szCs w:val="28"/>
        </w:rPr>
        <w:t>рственных и муниципальных нужд</w:t>
      </w:r>
      <w:r w:rsidR="009820A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870AC">
        <w:rPr>
          <w:rFonts w:ascii="Times New Roman" w:hAnsi="Times New Roman" w:cs="Times New Roman"/>
          <w:sz w:val="28"/>
          <w:szCs w:val="28"/>
        </w:rPr>
        <w:t>,</w:t>
      </w:r>
      <w:r w:rsidR="00EC4A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C4AE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0D1E1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D1E1C" w:rsidRPr="0025678B">
        <w:rPr>
          <w:rFonts w:ascii="Times New Roman" w:hAnsi="Times New Roman" w:cs="Times New Roman"/>
          <w:color w:val="FF0000"/>
          <w:sz w:val="28"/>
          <w:szCs w:val="28"/>
        </w:rPr>
        <w:t xml:space="preserve">5.4 </w:t>
      </w:r>
      <w:r w:rsidR="000D1E1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D1E1C" w:rsidRPr="00894711">
        <w:rPr>
          <w:rFonts w:ascii="Times New Roman" w:hAnsi="Times New Roman" w:cs="Times New Roman"/>
          <w:sz w:val="28"/>
          <w:szCs w:val="28"/>
        </w:rPr>
        <w:t>о</w:t>
      </w:r>
      <w:r w:rsidR="002A6995">
        <w:rPr>
          <w:rFonts w:ascii="Times New Roman" w:hAnsi="Times New Roman" w:cs="Times New Roman"/>
          <w:sz w:val="28"/>
          <w:szCs w:val="28"/>
        </w:rPr>
        <w:t>б</w:t>
      </w:r>
      <w:r w:rsidR="00A6501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870AC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A6501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</w:t>
      </w:r>
      <w:r w:rsidR="000D1E1C" w:rsidRPr="00894711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утвержденного постановлением </w:t>
      </w:r>
      <w:r w:rsidR="00A6501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870AC">
        <w:rPr>
          <w:rFonts w:ascii="Times New Roman" w:hAnsi="Times New Roman" w:cs="Times New Roman"/>
          <w:sz w:val="28"/>
          <w:szCs w:val="28"/>
        </w:rPr>
        <w:t>Малоязовский</w:t>
      </w:r>
      <w:r w:rsidR="00A65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</w:t>
      </w:r>
      <w:proofErr w:type="spellStart"/>
      <w:r w:rsidR="00A65011">
        <w:rPr>
          <w:rFonts w:ascii="Times New Roman" w:hAnsi="Times New Roman" w:cs="Times New Roman"/>
          <w:sz w:val="28"/>
          <w:szCs w:val="28"/>
        </w:rPr>
        <w:t>Башкортостан</w:t>
      </w:r>
      <w:r w:rsidR="000D1E1C" w:rsidRPr="002870A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D1E1C" w:rsidRPr="002870AC">
        <w:rPr>
          <w:rFonts w:ascii="Times New Roman" w:hAnsi="Times New Roman" w:cs="Times New Roman"/>
          <w:sz w:val="28"/>
          <w:szCs w:val="28"/>
        </w:rPr>
        <w:t xml:space="preserve"> </w:t>
      </w:r>
      <w:r w:rsidR="002870AC" w:rsidRPr="002870AC">
        <w:rPr>
          <w:rFonts w:ascii="Times New Roman" w:hAnsi="Times New Roman" w:cs="Times New Roman"/>
          <w:sz w:val="28"/>
          <w:szCs w:val="28"/>
        </w:rPr>
        <w:t>5 октября</w:t>
      </w:r>
      <w:r w:rsidR="000B409D" w:rsidRPr="002870AC">
        <w:rPr>
          <w:rFonts w:ascii="Times New Roman" w:hAnsi="Times New Roman" w:cs="Times New Roman"/>
          <w:sz w:val="28"/>
          <w:szCs w:val="28"/>
        </w:rPr>
        <w:t xml:space="preserve"> 201</w:t>
      </w:r>
      <w:r w:rsidR="002870AC" w:rsidRPr="002870AC">
        <w:rPr>
          <w:rFonts w:ascii="Times New Roman" w:hAnsi="Times New Roman" w:cs="Times New Roman"/>
          <w:sz w:val="28"/>
          <w:szCs w:val="28"/>
        </w:rPr>
        <w:t>0</w:t>
      </w:r>
      <w:r w:rsidR="000B409D" w:rsidRPr="002870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1E1C" w:rsidRPr="002870AC">
        <w:rPr>
          <w:rFonts w:ascii="Times New Roman" w:hAnsi="Times New Roman" w:cs="Times New Roman"/>
          <w:sz w:val="28"/>
          <w:szCs w:val="28"/>
        </w:rPr>
        <w:t xml:space="preserve"> № </w:t>
      </w:r>
      <w:r w:rsidR="002870AC" w:rsidRPr="002870AC">
        <w:rPr>
          <w:rFonts w:ascii="Times New Roman" w:hAnsi="Times New Roman" w:cs="Times New Roman"/>
          <w:sz w:val="28"/>
          <w:szCs w:val="28"/>
        </w:rPr>
        <w:t>176</w:t>
      </w:r>
      <w:r w:rsidR="002870AC">
        <w:rPr>
          <w:rFonts w:ascii="Times New Roman" w:hAnsi="Times New Roman" w:cs="Times New Roman"/>
          <w:sz w:val="28"/>
          <w:szCs w:val="28"/>
        </w:rPr>
        <w:t xml:space="preserve"> (с </w:t>
      </w:r>
      <w:r w:rsidR="006F4AAB">
        <w:rPr>
          <w:rFonts w:ascii="Times New Roman" w:hAnsi="Times New Roman" w:cs="Times New Roman"/>
          <w:sz w:val="28"/>
          <w:szCs w:val="28"/>
        </w:rPr>
        <w:lastRenderedPageBreak/>
        <w:t>внесенными</w:t>
      </w:r>
      <w:r w:rsidR="002870AC">
        <w:rPr>
          <w:rFonts w:ascii="Times New Roman" w:hAnsi="Times New Roman" w:cs="Times New Roman"/>
          <w:sz w:val="28"/>
          <w:szCs w:val="28"/>
        </w:rPr>
        <w:t xml:space="preserve">изменения и дополнениями </w:t>
      </w:r>
      <w:r w:rsidR="006F4AAB">
        <w:rPr>
          <w:rFonts w:ascii="Times New Roman" w:hAnsi="Times New Roman" w:cs="Times New Roman"/>
          <w:sz w:val="28"/>
          <w:szCs w:val="28"/>
        </w:rPr>
        <w:t>от18 ноября 2011 года № 37)</w:t>
      </w:r>
    </w:p>
    <w:p w:rsidR="002870AC" w:rsidRPr="00A65011" w:rsidRDefault="002870AC" w:rsidP="002870A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1E1C" w:rsidRPr="002458F6" w:rsidRDefault="000D1E1C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E9F">
        <w:rPr>
          <w:rFonts w:ascii="Times New Roman" w:hAnsi="Times New Roman" w:cs="Times New Roman"/>
          <w:sz w:val="28"/>
          <w:szCs w:val="28"/>
        </w:rPr>
        <w:t> 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6E7F"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при осуществлении контроля Министерства финансов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(далее – Порядок)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6E7F" w:rsidRPr="002458F6" w:rsidRDefault="007E2233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законодательством порядке, но не ранее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2017 года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абзаца шестого пункта 5 Порядка</w:t>
      </w:r>
      <w:proofErr w:type="gramStart"/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 сво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правоотношения,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с размещением планов закупок на 2017 год и плановый период 2018 и 2019 годов и планов-графиков закупок на 2017 год.</w:t>
      </w:r>
    </w:p>
    <w:p w:rsidR="00113D5F" w:rsidRDefault="00886C80" w:rsidP="002870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2870A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E6640C" w:rsidRPr="002458F6" w:rsidRDefault="00EC6E7F" w:rsidP="002870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2870AC" w:rsidRPr="002870AC">
        <w:rPr>
          <w:rFonts w:ascii="Times New Roman" w:hAnsi="Times New Roman" w:cs="Times New Roman"/>
          <w:sz w:val="28"/>
          <w:szCs w:val="28"/>
        </w:rPr>
        <w:t>Постановления</w:t>
      </w:r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65011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</w:t>
      </w:r>
      <w:r w:rsidR="00CA209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65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</w:t>
      </w:r>
      <w:bookmarkStart w:id="0" w:name="_GoBack"/>
      <w:bookmarkEnd w:id="0"/>
      <w:r w:rsidR="00A6501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870AC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A6501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 </w:t>
      </w:r>
      <w:proofErr w:type="spellStart"/>
      <w:r w:rsidR="002870AC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="002870AC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A55968" w:rsidRPr="002458F6" w:rsidRDefault="00A55968" w:rsidP="00287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Default="009820A7" w:rsidP="002870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11" w:rsidRDefault="00A65011" w:rsidP="002870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11" w:rsidRPr="002458F6" w:rsidRDefault="00A65011" w:rsidP="002870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2870A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С.Ш. Ишмухаметова</w:t>
      </w:r>
    </w:p>
    <w:p w:rsidR="009820A7" w:rsidRPr="002458F6" w:rsidRDefault="009820A7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Default="009820A7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7E2233" w:rsidRDefault="007E2233" w:rsidP="00C77367">
      <w:pPr>
        <w:pStyle w:val="ConsPlusNormal"/>
        <w:jc w:val="both"/>
        <w:rPr>
          <w:color w:val="000000" w:themeColor="text1"/>
        </w:rPr>
      </w:pPr>
    </w:p>
    <w:p w:rsidR="00F1347D" w:rsidRDefault="00F1347D" w:rsidP="007E223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7D" w:rsidRDefault="00F1347D" w:rsidP="007E223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7D" w:rsidRDefault="00F1347D" w:rsidP="007E223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7D" w:rsidRDefault="00F1347D" w:rsidP="007E223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47D" w:rsidRDefault="00F1347D" w:rsidP="007E223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Малоязовский сельсовет муниципального района Салаватский район 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7E2233" w:rsidRPr="007E2233" w:rsidRDefault="008D0DF7" w:rsidP="007E223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«21» декабря 2016 года № 73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22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взаимодействия при осуществлении контроля Администрации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Малоязовский </w:t>
      </w:r>
      <w:r w:rsidRPr="007E22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сельсовет муниципального района Салаватский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Настоящий Порядок устанавливает правила взаимодействия при осуществления контроля </w:t>
      </w:r>
      <w:r w:rsidRPr="007E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7E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Салаватский район Республики Башкортостан</w:t>
      </w: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Администрация) с субъектами контроля, указанными в пункте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контроля, Федеральный закон).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</w:t>
      </w: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закупок, 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утвержденными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согласовании Администрацией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Сведения о закрытых объектах контроля направляются в Администрацию в следующих формах: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документации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7E2233" w:rsidRPr="007E2233" w:rsidRDefault="007E2233" w:rsidP="007E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</w:t>
      </w: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 закрытом объекте контроля. 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7E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7E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сельского поселения Малоязовский сельсовет муниципального района Салаватский район Республики Башкортостан, утвержденным приказом Министерства от 14 ноября 2008 года № 50</w:t>
      </w:r>
      <w:proofErr w:type="gramEnd"/>
      <w:r w:rsidRPr="007E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учета бюджетных обязательств), на учет бюджетных обязательств; 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соответствие сведениям об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,у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становленных Правительством Республики Башкортостан,предусматривающих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Администрацию по формесогласно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предмет </w:t>
      </w:r>
      <w:proofErr w:type="spell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непревышения</w:t>
      </w:r>
      <w:proofErr w:type="spell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</w:t>
      </w: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81н (далее – план ФХД);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предмет </w:t>
      </w:r>
      <w:proofErr w:type="spell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непревышениясуммы</w:t>
      </w:r>
      <w:proofErr w:type="spell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2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Малоязовский сельсовет муниципального района Салаватский район Республики Башкортостан и бюджетных росписей главных распорядителей средств бюджета сельского поселения Малоязовский сельсовет муниципального района Салаватский район Республики Башкортостан (главных администраторов источников финансирования дефицита бюджета сельского поселения Малоязовский сельсовет муниципального района Салаватский</w:t>
      </w:r>
      <w:proofErr w:type="gramEnd"/>
      <w:r w:rsidRPr="007E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 При осуществлении взаимодействия с субъектами контроля Администрацияпроверяет в соответствии с подпунктом «б» пункта 13 </w:t>
      </w: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 контроля следующие объекты контроля (закрытые объекты контроля, сведения о закрытых объектах контроля):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непревышение</w:t>
      </w:r>
      <w:proofErr w:type="spell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непревышение</w:t>
      </w:r>
      <w:proofErr w:type="spell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идентификационного кода закупки - аналогичной информации, </w:t>
      </w: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содержащейся в условиях контракта (сведениях о контракте);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указанным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плане-графике закупок  соответствующего заказчика;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непревышение</w:t>
      </w:r>
      <w:proofErr w:type="spell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таком протоколе (сведенияхо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сведениях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проекте контракта):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</w:t>
      </w: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соответствующего заказчика;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объекты контроля по 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непревышение</w:t>
      </w:r>
      <w:proofErr w:type="spell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непревышение</w:t>
      </w:r>
      <w:proofErr w:type="spell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уведомлением о результате контроля по форме согласно приложениюк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от22 июля 2016 года № 120н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,и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Администрацияформирует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</w:t>
      </w: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закона, по форме согласно приложению № 6к настоящему Порядку и при проверке контролируемой информации, содержащейся: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отметку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</w:t>
      </w:r>
      <w:proofErr w:type="gram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«б» и «в» пункта 9 настоящего Порядка;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объектах контроля, указанных в пункте 11 настоящего Порядка, </w:t>
      </w:r>
      <w:proofErr w:type="spellStart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довнесения</w:t>
      </w:r>
      <w:proofErr w:type="spellEnd"/>
      <w:r w:rsidRPr="007E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7E2233" w:rsidRPr="007E2233" w:rsidRDefault="007E2233" w:rsidP="007E22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233" w:rsidRPr="002458F6" w:rsidRDefault="007E2233" w:rsidP="00C77367">
      <w:pPr>
        <w:pStyle w:val="ConsPlusNormal"/>
        <w:jc w:val="both"/>
        <w:rPr>
          <w:color w:val="000000" w:themeColor="text1"/>
        </w:rPr>
      </w:pPr>
    </w:p>
    <w:sectPr w:rsidR="007E2233" w:rsidRPr="002458F6" w:rsidSect="00F134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407E"/>
    <w:rsid w:val="00037D69"/>
    <w:rsid w:val="00065CE5"/>
    <w:rsid w:val="000B409D"/>
    <w:rsid w:val="000D1E1C"/>
    <w:rsid w:val="00113D5F"/>
    <w:rsid w:val="001F223E"/>
    <w:rsid w:val="002458F6"/>
    <w:rsid w:val="0025678B"/>
    <w:rsid w:val="002870AC"/>
    <w:rsid w:val="002A6995"/>
    <w:rsid w:val="00306D80"/>
    <w:rsid w:val="004D41E5"/>
    <w:rsid w:val="00515CED"/>
    <w:rsid w:val="005A7CD0"/>
    <w:rsid w:val="006B63D2"/>
    <w:rsid w:val="006F4AAB"/>
    <w:rsid w:val="0079262D"/>
    <w:rsid w:val="007B10AA"/>
    <w:rsid w:val="007C01B0"/>
    <w:rsid w:val="007E2233"/>
    <w:rsid w:val="00871286"/>
    <w:rsid w:val="00884E9F"/>
    <w:rsid w:val="00886C80"/>
    <w:rsid w:val="008D0DF7"/>
    <w:rsid w:val="009820A7"/>
    <w:rsid w:val="00A55968"/>
    <w:rsid w:val="00A65011"/>
    <w:rsid w:val="00AA0241"/>
    <w:rsid w:val="00AC407E"/>
    <w:rsid w:val="00BB2869"/>
    <w:rsid w:val="00C128A2"/>
    <w:rsid w:val="00C77367"/>
    <w:rsid w:val="00CA2098"/>
    <w:rsid w:val="00CD7B84"/>
    <w:rsid w:val="00D10C02"/>
    <w:rsid w:val="00E662C7"/>
    <w:rsid w:val="00E6640C"/>
    <w:rsid w:val="00E932C9"/>
    <w:rsid w:val="00EC4AEE"/>
    <w:rsid w:val="00EC6E7F"/>
    <w:rsid w:val="00F1347D"/>
    <w:rsid w:val="00F226FB"/>
    <w:rsid w:val="00FB5051"/>
    <w:rsid w:val="00FC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48F2-3DCA-494A-BC77-649C0745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Win7</cp:lastModifiedBy>
  <cp:revision>4</cp:revision>
  <cp:lastPrinted>2015-12-17T08:02:00Z</cp:lastPrinted>
  <dcterms:created xsi:type="dcterms:W3CDTF">2019-12-20T07:31:00Z</dcterms:created>
  <dcterms:modified xsi:type="dcterms:W3CDTF">2019-12-20T07:34:00Z</dcterms:modified>
</cp:coreProperties>
</file>